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6A" w:rsidRDefault="00B31E6A" w:rsidP="00B31E6A">
      <w:pPr>
        <w:widowControl/>
        <w:wordWrap w:val="0"/>
        <w:adjustRightInd w:val="0"/>
        <w:snapToGrid w:val="0"/>
        <w:jc w:val="left"/>
        <w:rPr>
          <w:rFonts w:ascii="黑体" w:eastAsia="黑体" w:hAnsi="黑体" w:cs="宋体"/>
          <w:kern w:val="0"/>
          <w:sz w:val="32"/>
        </w:rPr>
      </w:pPr>
      <w:r>
        <w:rPr>
          <w:rFonts w:ascii="黑体" w:eastAsia="黑体" w:hAnsi="黑体" w:cs="宋体" w:hint="eastAsia"/>
          <w:kern w:val="0"/>
          <w:sz w:val="32"/>
        </w:rPr>
        <w:t>附件1</w:t>
      </w:r>
    </w:p>
    <w:p w:rsidR="00B31E6A" w:rsidRDefault="00B31E6A" w:rsidP="00B31E6A">
      <w:pPr>
        <w:widowControl/>
        <w:wordWrap w:val="0"/>
        <w:adjustRightInd w:val="0"/>
        <w:snapToGrid w:val="0"/>
        <w:spacing w:line="408" w:lineRule="auto"/>
        <w:jc w:val="left"/>
        <w:rPr>
          <w:rFonts w:ascii="黑体" w:eastAsia="黑体" w:hAnsi="黑体" w:cs="宋体" w:hint="eastAsia"/>
          <w:kern w:val="0"/>
          <w:sz w:val="32"/>
        </w:rPr>
      </w:pPr>
    </w:p>
    <w:p w:rsidR="00B31E6A" w:rsidRPr="00F032F0" w:rsidRDefault="00B31E6A" w:rsidP="00B31E6A">
      <w:pPr>
        <w:widowControl/>
        <w:wordWrap w:val="0"/>
        <w:adjustRightInd w:val="0"/>
        <w:snapToGrid w:val="0"/>
        <w:jc w:val="center"/>
        <w:rPr>
          <w:rFonts w:ascii="方正小标宋简体" w:eastAsia="方正小标宋简体" w:hAnsi="华文中宋" w:cs="宋体" w:hint="eastAsia"/>
          <w:kern w:val="0"/>
          <w:sz w:val="44"/>
          <w:szCs w:val="44"/>
        </w:rPr>
      </w:pPr>
      <w:bookmarkStart w:id="0" w:name="_GoBack"/>
      <w:r w:rsidRPr="00F032F0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固定污染源清理整顿行业和管理类别表</w:t>
      </w:r>
      <w:bookmarkEnd w:id="0"/>
      <w:r w:rsidRPr="00F032F0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 xml:space="preserve"> </w:t>
      </w:r>
    </w:p>
    <w:p w:rsidR="00B31E6A" w:rsidRDefault="00B31E6A" w:rsidP="00B31E6A">
      <w:pPr>
        <w:widowControl/>
        <w:wordWrap w:val="0"/>
        <w:adjustRightInd w:val="0"/>
        <w:snapToGrid w:val="0"/>
        <w:jc w:val="center"/>
        <w:rPr>
          <w:rFonts w:ascii="黑体" w:eastAsia="黑体" w:hAnsi="黑体" w:cs="宋体" w:hint="eastAsia"/>
          <w:kern w:val="0"/>
          <w:sz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2410"/>
        <w:gridCol w:w="3586"/>
        <w:gridCol w:w="3502"/>
        <w:gridCol w:w="2134"/>
        <w:gridCol w:w="1858"/>
      </w:tblGrid>
      <w:tr w:rsidR="00B31E6A" w:rsidTr="005620C9">
        <w:trPr>
          <w:trHeight w:val="417"/>
          <w:tblHeader/>
          <w:jc w:val="center"/>
        </w:trPr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行业类别</w:t>
            </w:r>
          </w:p>
        </w:tc>
        <w:tc>
          <w:tcPr>
            <w:tcW w:w="35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重点管理</w:t>
            </w:r>
          </w:p>
        </w:tc>
        <w:tc>
          <w:tcPr>
            <w:tcW w:w="35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简化管理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登记管理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适用技术规范</w:t>
            </w:r>
          </w:p>
        </w:tc>
      </w:tr>
      <w:tr w:rsidR="00B31E6A" w:rsidTr="005620C9">
        <w:trPr>
          <w:trHeight w:val="1462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牲畜饲养031，家禽饲养032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设有污水排放口的规模化畜禽养殖场、养殖小区（具体规模化标准按《畜禽规模养殖污染防治条例》执行）（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生猪</w:t>
            </w:r>
            <w:r>
              <w:rPr>
                <w:rFonts w:ascii="宋体" w:hAnsi="宋体" w:hint="eastAsia"/>
                <w:kern w:val="0"/>
                <w:szCs w:val="21"/>
              </w:rPr>
              <w:t>养殖除外）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无污水排放口的规模化畜禽养殖场、养殖小区，设有污水排放口的规模以下畜禽养殖场、养殖小区（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生猪</w:t>
            </w:r>
            <w:r>
              <w:rPr>
                <w:rFonts w:ascii="宋体" w:hAnsi="宋体" w:hint="eastAsia"/>
                <w:kern w:val="0"/>
                <w:szCs w:val="21"/>
              </w:rPr>
              <w:t>养殖除外）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畜禽养殖行业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制糖业134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日加工糖料能力1000吨及以上的原糖、成品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糖或者精制糖生产</w:t>
            </w:r>
            <w:proofErr w:type="gramEnd"/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其他﹡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农副食品加工工业—制糖工业</w:t>
            </w:r>
          </w:p>
        </w:tc>
      </w:tr>
      <w:tr w:rsidR="00B31E6A" w:rsidTr="005620C9">
        <w:trPr>
          <w:trHeight w:val="2165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屠宰及肉类加工135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年屠宰生猪10万头及以上的，年屠宰肉牛1万头及以上的，年屠宰肉羊15万头及以上的，年屠宰禽类1000万只及以上的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年屠宰生猪2万头及以上10万头以下的，年屠宰肉牛0.2万头及以上1万头以下的，年屠宰肉羊2.5万头及以上15万头以下的，年屠宰禽类100万只及以上1000万只以下的，年加工肉禽类2万吨及以上的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其他﹡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农副食品加工工业—屠宰及肉类加工工业</w:t>
            </w:r>
          </w:p>
        </w:tc>
      </w:tr>
      <w:tr w:rsidR="00B31E6A" w:rsidTr="005620C9">
        <w:trPr>
          <w:trHeight w:val="1741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其他农副食品加工139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年加工能力15万吨玉米或者1.5万吨薯类及以上的淀粉生产或者年产1万吨及以上的淀粉制品生产，有发酵工艺的淀粉制品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除重点管理以外的年加工能力1.5万吨及以上玉米、0.1万吨及以上薯类或豆类、4.5万吨及以上小麦的淀粉生产、年产能0.1万吨及以上的淀粉制品生产（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含有发酵工艺的淀粉制品）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其他﹡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农副食品加工工业—淀粉工业</w:t>
            </w:r>
          </w:p>
        </w:tc>
      </w:tr>
      <w:tr w:rsidR="00B31E6A" w:rsidTr="005620C9">
        <w:trPr>
          <w:trHeight w:val="1262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方便食品制造143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米、面制品制造1431﹡，速冻食品制造1432﹡，方便面制造1433﹡，其他方便食品制造1439﹡，以上均不含手工制作、单纯混合或者分装的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其他﹡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食品制造工业--方便食品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其他食品制造149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食品及饲料添加剂制造1495﹡，不含手工制作、单纯混合或者分装的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其他﹡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食品与饲料添加剂制造工业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乳制品制造144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年加工20万吨及以上的（不含单纯混合或者分装的）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年加工20万吨以下的（不含单纯混合或者分装的）﹡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单纯混合或者分装的﹡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食品制造工业--乳制品制造工业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调味品、发酵制品制造146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有发酵工艺的味精、柠檬酸、赖氨酸、酵母制造，年产2万吨及以上且有发酵工艺的酱油、食醋制造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除重点管理以外的调味品、发酵制品制造（不含单纯混合或者分装的）﹡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单纯混合或者分装的﹡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食品制造工业--调味品、发酵</w:t>
            </w:r>
          </w:p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制品制造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酒的制造151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酒精制造1511，有发酵工艺的年生产能力5000千升及以上的白酒、啤酒、黄酒、葡萄酒、其他酒制造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有发酵工艺的年生产能力5000千升以下的白酒、啤酒、黄酒、葡萄酒、其他酒制造﹡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其他﹡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酒、饮料制造</w:t>
            </w:r>
          </w:p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工业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人造板制造202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纳入重点排污单位名录的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除重点管理以外的胶合板制造2021（年产10万立方米及以上的）、纤维板制造2022、刨花板制造2023、其他人造板制造2029（年产10万立方米及以上的）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其他﹡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人造板工业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木质家具制造211，竹、藤家具制造212，金属家</w:t>
            </w:r>
            <w:r>
              <w:rPr>
                <w:rFonts w:ascii="宋体" w:hAnsi="宋体" w:hint="eastAsia"/>
                <w:kern w:val="0"/>
                <w:szCs w:val="21"/>
              </w:rPr>
              <w:lastRenderedPageBreak/>
              <w:t>具制造213，塑料家具制造214，其他家具制造219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纳入重点排污单位名录的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除重点管理以外的年使用10吨及以上溶剂型涂料或者胶粘剂（含稀释</w:t>
            </w:r>
            <w:r>
              <w:rPr>
                <w:rFonts w:ascii="宋体" w:hAnsi="宋体" w:hint="eastAsia"/>
                <w:kern w:val="0"/>
                <w:szCs w:val="21"/>
              </w:rPr>
              <w:lastRenderedPageBreak/>
              <w:t>剂、固化剂）的、年使用20吨及以上水性涂料或者胶粘剂的、有磷化表面处理工艺的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其他﹡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家具制造工业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纸浆制造221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全部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造纸行业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精炼石油产品制造251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原油加工及石油制品制造2511，其他原油制造2519，以上均不含单纯混合或者分装的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单纯混合或者分装的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石化工业</w:t>
            </w:r>
          </w:p>
        </w:tc>
      </w:tr>
      <w:tr w:rsidR="00B31E6A" w:rsidTr="005620C9">
        <w:trPr>
          <w:trHeight w:val="386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煤炭加工252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炼焦2521（焦炭生产）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炼焦化学工业</w:t>
            </w:r>
          </w:p>
        </w:tc>
      </w:tr>
      <w:tr w:rsidR="00B31E6A" w:rsidTr="005620C9">
        <w:trPr>
          <w:trHeight w:val="735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基础化学原料制造261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有机化学原料制造2614（乙烯、芳烃生产）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石化工业</w:t>
            </w:r>
          </w:p>
        </w:tc>
      </w:tr>
      <w:tr w:rsidR="00B31E6A" w:rsidTr="005620C9">
        <w:trPr>
          <w:trHeight w:val="735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肥料制造262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氮肥制造2621（不含单纯混合或者分装的）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氮肥制造2621（单纯混合或者分装的）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化肥工业-氮肥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磷肥制造2622（不含单纯混合或者分装的） 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磷肥制造2622（单纯混合或者分装的）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磷肥、钾肥、复温钾肥、有机肥料及微生物肥料工业（其他）</w:t>
            </w:r>
          </w:p>
        </w:tc>
      </w:tr>
      <w:tr w:rsidR="00B31E6A" w:rsidTr="005620C9">
        <w:trPr>
          <w:trHeight w:val="665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农药制造263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化学农药制造2631（包含农药中间体，不含单纯混合或者分装的）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化学农药制造2631（单纯混合或者分装的）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农药制造工业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合成材料制造265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初级形态塑料及合成树脂制造2651（聚氯乙烯生产）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6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聚氯乙烯工业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水泥、石灰和石膏制造301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水泥（熟料）制造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水泥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粉磨站</w:t>
            </w:r>
            <w:proofErr w:type="gram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水泥工业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玻璃制造304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平板玻璃制造3041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6"/>
                <w:kern w:val="0"/>
                <w:szCs w:val="21"/>
              </w:rPr>
            </w:pPr>
            <w:r>
              <w:rPr>
                <w:rFonts w:ascii="宋体" w:hAnsi="宋体" w:hint="eastAsia"/>
                <w:spacing w:val="-6"/>
                <w:kern w:val="0"/>
                <w:szCs w:val="21"/>
              </w:rPr>
              <w:t>玻璃工业—平板玻璃</w:t>
            </w:r>
          </w:p>
        </w:tc>
      </w:tr>
      <w:tr w:rsidR="00B31E6A" w:rsidTr="005620C9">
        <w:trPr>
          <w:trHeight w:val="1503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陶瓷制品制造307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卫生陶瓷制品制造3072（年产150万件及以上的），日用陶瓷制品制造3074（年产250万件及以上的）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卫生陶瓷制品制造3072（年产150万件以下的），日用陶瓷制品制造3074（年产250万件以下的）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6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陶瓷砖瓦工业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炼铁311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含炼铁、烧结、球团等工序的生产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钢铁工业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炼钢312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全部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钢压延加工313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年产50万吨及以上的冷轧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热轧及年产50万吨以下的冷轧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31E6A" w:rsidTr="005620C9">
        <w:trPr>
          <w:trHeight w:val="958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常用有色金属冶炼321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铜、铅锌、镍钴、锡、锑、铝、镁、汞、钛等常用有色金属冶炼（含再生铜、再生铝和再生铅冶炼）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有色金属工业</w:t>
            </w:r>
          </w:p>
        </w:tc>
      </w:tr>
      <w:tr w:rsidR="00B31E6A" w:rsidTr="005620C9">
        <w:trPr>
          <w:trHeight w:val="639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汽车整车制造361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纳入重点排污单位名录的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除重点管理以外的汽车整车制造361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汽车制造业</w:t>
            </w:r>
          </w:p>
        </w:tc>
      </w:tr>
      <w:tr w:rsidR="00B31E6A" w:rsidTr="005620C9">
        <w:trPr>
          <w:trHeight w:val="2063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汽车用发动机制造362，改装汽车制造363，低速汽车制造364，电车制造365，汽车车身、挂车制造366，汽车零部件及配件制造367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纳入重点排污单位名录的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除重点管理以外的年使用10吨及以上溶剂型涂料或者胶粘剂（含稀释剂、固化剂、清洗溶剂）的汽车用发动机制造362、改装汽车制造363、低速汽车制造364、电车制造365、汽车车身、挂车制造366、汽车零部件及配件制造367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汽车制造业</w:t>
            </w:r>
          </w:p>
        </w:tc>
      </w:tr>
      <w:tr w:rsidR="00B31E6A" w:rsidTr="005620C9">
        <w:trPr>
          <w:trHeight w:val="944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电池制造384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铅酸蓄电池制造3843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锂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离子电池制造3841，镍氢电池制造3842，锌锰电池制造3844，其他电池制造3849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电池工业</w:t>
            </w:r>
          </w:p>
        </w:tc>
      </w:tr>
      <w:tr w:rsidR="00B31E6A" w:rsidTr="005620C9">
        <w:trPr>
          <w:trHeight w:val="1045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金属废料和碎屑加工处理421，非金属废料和碎屑加工处理422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废电池、废油、废轮胎加工处理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spacing w:val="-4"/>
                <w:kern w:val="0"/>
                <w:szCs w:val="21"/>
              </w:rPr>
              <w:t>废弃电器电子产品、废机动车、废电机、废电线电缆、废塑料、废船、含水洗工艺的其他废料和碎屑加工处理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废弃资源加工</w:t>
            </w:r>
          </w:p>
          <w:p w:rsidR="00B31E6A" w:rsidRDefault="00B31E6A" w:rsidP="005620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工业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电力生产441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火力发电4411，热电联产4412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火电行业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生物质能发电4417（生活垃圾、污泥发电）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生活垃圾焚烧</w:t>
            </w:r>
          </w:p>
        </w:tc>
      </w:tr>
      <w:tr w:rsidR="00B31E6A" w:rsidTr="005620C9">
        <w:trPr>
          <w:trHeight w:val="1196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热力生产和供应443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单台或者合计出力20吨/小时（14兆瓦）及以上的锅炉（不含电热锅炉）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单台且合计出力20吨/小时（14兆瓦）以下的锅炉（不含电热锅炉和单台且合计出力1吨/小时（0.7兆瓦）及以下的天然气锅炉）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单台且合计出力1吨/小时（0.7兆瓦）及以下的天然气锅炉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锅炉</w:t>
            </w:r>
          </w:p>
        </w:tc>
      </w:tr>
      <w:tr w:rsidR="00B31E6A" w:rsidTr="005620C9">
        <w:trPr>
          <w:trHeight w:val="20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污水处理及其再生利用462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spacing w:val="-4"/>
                <w:kern w:val="0"/>
                <w:szCs w:val="21"/>
              </w:rPr>
              <w:t>工业废水集中处理场所，日处理能力2万吨及以上的城乡污水集中处理场所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日处理能力500吨及以上2万吨以下的城乡污水集中处理场所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日处理能力500吨以下的城乡污水集中处理场所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水处理（试行）</w:t>
            </w:r>
          </w:p>
        </w:tc>
      </w:tr>
      <w:tr w:rsidR="00B31E6A" w:rsidTr="005620C9">
        <w:trPr>
          <w:trHeight w:val="1168"/>
          <w:jc w:val="center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环境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治理业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772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专业从事危险废物贮存、利用、处理、处置（含焚烧发电）的，专业从事一般工业固体废物贮存、处置（含焚烧发电）的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工业固体废物</w:t>
            </w:r>
          </w:p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危险废物治理</w:t>
            </w:r>
          </w:p>
          <w:p w:rsidR="00B31E6A" w:rsidRDefault="00B31E6A" w:rsidP="005620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危险废物焚烧</w:t>
            </w:r>
          </w:p>
        </w:tc>
      </w:tr>
    </w:tbl>
    <w:p w:rsidR="00B31E6A" w:rsidRDefault="00B31E6A" w:rsidP="00B31E6A">
      <w:pPr>
        <w:adjustRightInd w:val="0"/>
        <w:snapToGrid w:val="0"/>
        <w:spacing w:line="288" w:lineRule="auto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注1.行业类别代码引自《国民经济行业分类》（GB/T 4754-2017）</w:t>
      </w:r>
    </w:p>
    <w:p w:rsidR="00B31E6A" w:rsidRDefault="00B31E6A" w:rsidP="00B31E6A">
      <w:pPr>
        <w:adjustRightInd w:val="0"/>
        <w:snapToGrid w:val="0"/>
        <w:spacing w:line="288" w:lineRule="auto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注2.表格中标“*”号者，是指在工业建筑中生产的排污单位。工业建筑的定义参见《工程结构设计基本术语标准》（GB/T 50083-2014），是指提供生产用的各种建筑物，如车间、厂前区建筑、生活间、动力站、库房和运输设施等</w:t>
      </w:r>
    </w:p>
    <w:p w:rsidR="00B31E6A" w:rsidRDefault="00B31E6A" w:rsidP="00B31E6A">
      <w:pPr>
        <w:adjustRightInd w:val="0"/>
        <w:snapToGrid w:val="0"/>
        <w:spacing w:line="288" w:lineRule="auto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注3.表格中的电镀工序，是指电镀、化学镀、阳极氧化等生产工序</w:t>
      </w:r>
    </w:p>
    <w:p w:rsidR="00B31E6A" w:rsidRDefault="00B31E6A" w:rsidP="00B31E6A">
      <w:pPr>
        <w:adjustRightInd w:val="0"/>
        <w:snapToGrid w:val="0"/>
        <w:spacing w:line="288" w:lineRule="auto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4.表格中涉及溶剂、涂料、油墨、胶粘剂等使用量的排污单位，其投运满三年的，使用量按照近三年年最大量确定；其投运满一年但不满三年的，使用量按投运期间年最大量确定；其未投运或者投运不满一年的，按照环境影响报告书（表）批准文件确定。投运日期为排污单位发生实际排污行为的日期</w:t>
      </w:r>
    </w:p>
    <w:p w:rsidR="00B31E6A" w:rsidRDefault="00B31E6A" w:rsidP="00B31E6A">
      <w:pPr>
        <w:adjustRightInd w:val="0"/>
        <w:snapToGrid w:val="0"/>
        <w:spacing w:line="288" w:lineRule="auto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注5.根据《中华人民共和国环境保护税法实施条例》，城乡污水集中处理场所，是指为社会公众提供生活污水处理服务的场所，不包括为工业园区、开</w:t>
      </w:r>
      <w:r>
        <w:rPr>
          <w:rFonts w:ascii="宋体" w:hAnsi="宋体" w:cs="宋体" w:hint="eastAsia"/>
          <w:kern w:val="0"/>
          <w:szCs w:val="21"/>
        </w:rPr>
        <w:lastRenderedPageBreak/>
        <w:t>发区等工业聚集区域内的排污单位提供污水处理服务的场所，以及排污单位自建自用的污水处理场所</w:t>
      </w:r>
    </w:p>
    <w:p w:rsidR="00B31E6A" w:rsidRDefault="00B31E6A" w:rsidP="00B31E6A">
      <w:pPr>
        <w:adjustRightInd w:val="0"/>
        <w:snapToGrid w:val="0"/>
        <w:spacing w:line="288" w:lineRule="auto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注6.造纸行业和火电行业排污许可证技术规范参见《关于开展火电、造纸和京津冀试点城市高架源排污许可证管理工作的通知》（环水体〔2016〕189号）</w:t>
      </w:r>
    </w:p>
    <w:p w:rsidR="00B31E6A" w:rsidRDefault="00B31E6A" w:rsidP="00B31E6A">
      <w:pPr>
        <w:adjustRightInd w:val="0"/>
        <w:snapToGrid w:val="0"/>
        <w:spacing w:line="288" w:lineRule="auto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注7.不适用行业技术规范的，可参照《排污许可证申请与核发技术规范 总则》（HJ942-2018）执行</w:t>
      </w:r>
    </w:p>
    <w:p w:rsidR="00B31E6A" w:rsidRDefault="00B31E6A" w:rsidP="00B31E6A">
      <w:pPr>
        <w:adjustRightInd w:val="0"/>
        <w:snapToGrid w:val="0"/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注8.</w:t>
      </w:r>
      <w:r>
        <w:rPr>
          <w:rFonts w:ascii="宋体" w:hAnsi="宋体" w:hint="eastAsia"/>
          <w:kern w:val="0"/>
          <w:szCs w:val="21"/>
        </w:rPr>
        <w:t>不包括位于生态环境法律法规禁止建设区域内的，或生产设施或产品属于产业政策立即淘汰类的排污单位</w:t>
      </w:r>
    </w:p>
    <w:p w:rsidR="00370A53" w:rsidRPr="00B31E6A" w:rsidRDefault="00370A53"/>
    <w:sectPr w:rsidR="00370A53" w:rsidRPr="00B31E6A" w:rsidSect="00B31E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6A"/>
    <w:rsid w:val="00370A53"/>
    <w:rsid w:val="00B3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蒲铮</dc:creator>
  <cp:lastModifiedBy>蒲铮</cp:lastModifiedBy>
  <cp:revision>1</cp:revision>
  <dcterms:created xsi:type="dcterms:W3CDTF">2020-02-17T04:17:00Z</dcterms:created>
  <dcterms:modified xsi:type="dcterms:W3CDTF">2020-02-17T04:17:00Z</dcterms:modified>
</cp:coreProperties>
</file>