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1F" w:rsidRDefault="0018561F" w:rsidP="0018561F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附2</w:t>
      </w:r>
    </w:p>
    <w:p w:rsidR="0018561F" w:rsidRDefault="0018561F" w:rsidP="0018561F">
      <w:pPr>
        <w:jc w:val="center"/>
        <w:rPr>
          <w:rFonts w:ascii="黑体" w:eastAsia="黑体" w:cs="黑体"/>
          <w:sz w:val="42"/>
          <w:szCs w:val="42"/>
        </w:rPr>
      </w:pPr>
    </w:p>
    <w:p w:rsidR="0018561F" w:rsidRDefault="0018561F" w:rsidP="0018561F">
      <w:pPr>
        <w:jc w:val="center"/>
        <w:rPr>
          <w:rFonts w:ascii="黑体" w:eastAsia="黑体" w:cs="黑体"/>
          <w:sz w:val="42"/>
          <w:szCs w:val="42"/>
        </w:rPr>
      </w:pPr>
    </w:p>
    <w:p w:rsidR="0018561F" w:rsidRDefault="0018561F" w:rsidP="0018561F">
      <w:pPr>
        <w:jc w:val="center"/>
        <w:rPr>
          <w:rFonts w:ascii="黑体" w:eastAsia="黑体" w:cs="黑体"/>
          <w:sz w:val="42"/>
          <w:szCs w:val="42"/>
        </w:rPr>
      </w:pPr>
    </w:p>
    <w:p w:rsidR="0018561F" w:rsidRDefault="0018561F" w:rsidP="0018561F">
      <w:pPr>
        <w:jc w:val="center"/>
        <w:rPr>
          <w:rFonts w:ascii="黑体" w:eastAsia="黑体" w:cs="黑体"/>
          <w:sz w:val="42"/>
          <w:szCs w:val="42"/>
        </w:rPr>
      </w:pPr>
    </w:p>
    <w:p w:rsidR="0018561F" w:rsidRDefault="0018561F" w:rsidP="0018561F">
      <w:pPr>
        <w:jc w:val="center"/>
        <w:rPr>
          <w:rFonts w:ascii="黑体" w:eastAsia="黑体" w:cs="黑体"/>
          <w:sz w:val="42"/>
          <w:szCs w:val="42"/>
        </w:rPr>
      </w:pPr>
    </w:p>
    <w:p w:rsidR="0018561F" w:rsidRDefault="0018561F" w:rsidP="0018561F">
      <w:pPr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18561F" w:rsidRDefault="0018561F" w:rsidP="0018561F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废旧轮胎综合利用行业规范条件</w:t>
      </w:r>
    </w:p>
    <w:p w:rsidR="0018561F" w:rsidRDefault="0018561F" w:rsidP="0018561F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执行情况和企业发展报告</w:t>
      </w:r>
    </w:p>
    <w:p w:rsidR="0018561F" w:rsidRDefault="0018561F" w:rsidP="0018561F">
      <w:pPr>
        <w:jc w:val="center"/>
        <w:rPr>
          <w:rFonts w:ascii="黑体" w:eastAsia="黑体" w:cs="黑体"/>
          <w:sz w:val="42"/>
          <w:szCs w:val="42"/>
        </w:rPr>
      </w:pPr>
    </w:p>
    <w:p w:rsidR="0018561F" w:rsidRDefault="0018561F" w:rsidP="0018561F">
      <w:pPr>
        <w:jc w:val="center"/>
        <w:rPr>
          <w:rFonts w:ascii="黑体" w:eastAsia="黑体" w:cs="黑体"/>
          <w:sz w:val="42"/>
          <w:szCs w:val="42"/>
        </w:rPr>
      </w:pPr>
    </w:p>
    <w:p w:rsidR="0018561F" w:rsidRDefault="0018561F" w:rsidP="0018561F">
      <w:pPr>
        <w:jc w:val="center"/>
        <w:rPr>
          <w:rFonts w:ascii="黑体" w:eastAsia="黑体" w:cs="黑体"/>
          <w:sz w:val="42"/>
          <w:szCs w:val="42"/>
        </w:rPr>
      </w:pPr>
    </w:p>
    <w:p w:rsidR="0018561F" w:rsidRDefault="0018561F" w:rsidP="0018561F">
      <w:pPr>
        <w:jc w:val="center"/>
        <w:rPr>
          <w:rFonts w:ascii="黑体" w:eastAsia="黑体" w:cs="黑体"/>
          <w:sz w:val="28"/>
          <w:szCs w:val="28"/>
        </w:rPr>
      </w:pPr>
    </w:p>
    <w:p w:rsidR="0018561F" w:rsidRDefault="0018561F" w:rsidP="0018561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（单位公章）</w:t>
      </w:r>
    </w:p>
    <w:p w:rsidR="0018561F" w:rsidRDefault="0018561F" w:rsidP="0018561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</w:t>
      </w:r>
    </w:p>
    <w:p w:rsidR="0018561F" w:rsidRDefault="0018561F" w:rsidP="0018561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18561F" w:rsidRDefault="0018561F" w:rsidP="0018561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职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18561F" w:rsidRDefault="0018561F" w:rsidP="0018561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办公电话：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传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真：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</w:t>
      </w:r>
    </w:p>
    <w:p w:rsidR="0018561F" w:rsidRDefault="0018561F" w:rsidP="0018561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电子信箱：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</w:t>
      </w:r>
    </w:p>
    <w:p w:rsidR="0018561F" w:rsidRDefault="0018561F" w:rsidP="0018561F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18561F" w:rsidRDefault="0018561F" w:rsidP="0018561F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18561F" w:rsidRDefault="0018561F" w:rsidP="0018561F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18561F" w:rsidRDefault="0018561F" w:rsidP="0018561F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</w:t>
      </w:r>
      <w:r>
        <w:rPr>
          <w:rFonts w:ascii="仿宋_GB2312" w:eastAsia="仿宋_GB2312" w:hAnsi="仿宋_GB2312" w:cs="仿宋_GB2312"/>
          <w:sz w:val="32"/>
          <w:szCs w:val="32"/>
        </w:rPr>
        <w:t>制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     年    月    日</w:t>
      </w:r>
    </w:p>
    <w:p w:rsidR="0018561F" w:rsidRDefault="0018561F" w:rsidP="0018561F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  <w:sectPr w:rsidR="0018561F"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61F" w:rsidRDefault="0018561F" w:rsidP="0018561F">
      <w:pPr>
        <w:jc w:val="center"/>
        <w:rPr>
          <w:rFonts w:ascii="黑体" w:eastAsia="黑体" w:hAnsi="宋体" w:cs="黑体"/>
          <w:bCs/>
          <w:sz w:val="36"/>
          <w:szCs w:val="36"/>
        </w:rPr>
      </w:pPr>
      <w:r>
        <w:rPr>
          <w:rFonts w:ascii="黑体" w:eastAsia="黑体" w:hAnsi="宋体" w:cs="黑体"/>
          <w:bCs/>
          <w:sz w:val="36"/>
          <w:szCs w:val="36"/>
        </w:rPr>
        <w:lastRenderedPageBreak/>
        <w:t xml:space="preserve">编 报 要 求 </w:t>
      </w:r>
    </w:p>
    <w:p w:rsidR="0018561F" w:rsidRDefault="0018561F" w:rsidP="0018561F">
      <w:pPr>
        <w:pStyle w:val="a3"/>
        <w:adjustRightInd w:val="0"/>
        <w:snapToGrid w:val="0"/>
        <w:spacing w:line="240" w:lineRule="auto"/>
        <w:jc w:val="left"/>
        <w:rPr>
          <w:b/>
          <w:sz w:val="28"/>
          <w:szCs w:val="28"/>
        </w:rPr>
      </w:pPr>
    </w:p>
    <w:p w:rsidR="0018561F" w:rsidRDefault="0018561F" w:rsidP="0018561F">
      <w:pPr>
        <w:pStyle w:val="a3"/>
        <w:spacing w:line="240" w:lineRule="auto"/>
        <w:ind w:firstLineChars="196" w:firstLine="549"/>
        <w:jc w:val="lef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 xml:space="preserve">一、内容说明 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本报告是为了解和掌握公告企业《废旧轮胎综合利用行业规范条件》的执行情况和在废旧轮胎综合利用方面的年度发展变化情况，是对公告企业实施年度监督检查的主要依据，也是制定和完善相关政策的支撑材料。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报告内容包括公告企业对照《废旧轮胎综合利用行业规范条件》自查符合性情况、年度规划目标完成情况，以及在废旧轮胎综合利用科技创新、研发能力、生产能力、产品质量保障、实际产能等方面的发展变化情况。要求情况客观真实、数据完整准确。</w:t>
      </w:r>
      <w:r>
        <w:rPr>
          <w:rFonts w:ascii="Times New Roman" w:eastAsia="仿宋_GB2312" w:cs="Times New Roman"/>
          <w:sz w:val="28"/>
          <w:szCs w:val="28"/>
        </w:rPr>
        <w:t xml:space="preserve"> </w:t>
      </w:r>
    </w:p>
    <w:p w:rsidR="0018561F" w:rsidRDefault="0018561F" w:rsidP="0018561F">
      <w:pPr>
        <w:pStyle w:val="a3"/>
        <w:spacing w:line="240" w:lineRule="auto"/>
        <w:ind w:firstLineChars="196" w:firstLine="549"/>
        <w:jc w:val="left"/>
        <w:rPr>
          <w:rFonts w:ascii="Times New Roman" w:eastAsia="黑体" w:cs="Times New Roman"/>
          <w:bCs/>
          <w:sz w:val="28"/>
          <w:szCs w:val="28"/>
        </w:rPr>
      </w:pPr>
      <w:r>
        <w:rPr>
          <w:rFonts w:ascii="Times New Roman" w:eastAsia="黑体" w:cs="Times New Roman"/>
          <w:bCs/>
          <w:sz w:val="28"/>
          <w:szCs w:val="28"/>
        </w:rPr>
        <w:t>二、时间要求</w:t>
      </w:r>
      <w:r>
        <w:rPr>
          <w:rFonts w:ascii="Times New Roman" w:eastAsia="黑体" w:cs="Times New Roman"/>
          <w:bCs/>
          <w:sz w:val="28"/>
          <w:szCs w:val="28"/>
        </w:rPr>
        <w:t xml:space="preserve"> 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Times New Roman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每年</w:t>
      </w:r>
      <w:r>
        <w:rPr>
          <w:rFonts w:ascii="Times New Roman" w:eastAsia="仿宋_GB2312" w:cs="Times New Roman"/>
          <w:sz w:val="28"/>
          <w:szCs w:val="28"/>
        </w:rPr>
        <w:t>3</w:t>
      </w:r>
      <w:r>
        <w:rPr>
          <w:rFonts w:ascii="Times New Roman" w:eastAsia="仿宋_GB2312" w:cs="Times New Roman"/>
          <w:sz w:val="28"/>
          <w:szCs w:val="28"/>
        </w:rPr>
        <w:t>月</w:t>
      </w:r>
      <w:r>
        <w:rPr>
          <w:rFonts w:ascii="Times New Roman" w:eastAsia="仿宋_GB2312" w:cs="Times New Roman"/>
          <w:sz w:val="28"/>
          <w:szCs w:val="28"/>
        </w:rPr>
        <w:t>31</w:t>
      </w:r>
      <w:r>
        <w:rPr>
          <w:rFonts w:ascii="Times New Roman" w:eastAsia="仿宋_GB2312" w:cs="Times New Roman"/>
          <w:sz w:val="28"/>
          <w:szCs w:val="28"/>
        </w:rPr>
        <w:t>日前，公告企业完成的年度报告，经法定代表人签字后，打印装订并签章，通过省级工业和信息化主管部门报送</w:t>
      </w:r>
      <w:proofErr w:type="gramStart"/>
      <w:r>
        <w:rPr>
          <w:rFonts w:ascii="Times New Roman" w:eastAsia="仿宋_GB2312" w:cs="Times New Roman"/>
          <w:sz w:val="28"/>
          <w:szCs w:val="28"/>
        </w:rPr>
        <w:t>至工业</w:t>
      </w:r>
      <w:proofErr w:type="gramEnd"/>
      <w:r>
        <w:rPr>
          <w:rFonts w:ascii="Times New Roman" w:eastAsia="仿宋_GB2312" w:cs="Times New Roman"/>
          <w:sz w:val="28"/>
          <w:szCs w:val="28"/>
        </w:rPr>
        <w:t>和信息化部。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18561F" w:rsidRDefault="0018561F" w:rsidP="0018561F">
      <w:pPr>
        <w:pStyle w:val="a3"/>
        <w:spacing w:line="240" w:lineRule="auto"/>
        <w:ind w:firstLineChars="196" w:firstLine="549"/>
        <w:jc w:val="left"/>
        <w:rPr>
          <w:rFonts w:ascii="Times New Roman" w:eastAsia="黑体" w:cs="Times New Roman"/>
          <w:bCs/>
          <w:sz w:val="28"/>
          <w:szCs w:val="28"/>
        </w:rPr>
      </w:pPr>
      <w:r>
        <w:rPr>
          <w:rFonts w:ascii="Times New Roman" w:eastAsia="黑体" w:cs="Times New Roman"/>
          <w:bCs/>
          <w:sz w:val="28"/>
          <w:szCs w:val="28"/>
        </w:rPr>
        <w:t>三、其它</w:t>
      </w:r>
      <w:r>
        <w:rPr>
          <w:rFonts w:ascii="Times New Roman" w:eastAsia="黑体" w:cs="Times New Roman"/>
          <w:bCs/>
          <w:sz w:val="28"/>
          <w:szCs w:val="28"/>
        </w:rPr>
        <w:t xml:space="preserve"> 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Times New Roman" w:eastAsia="黑体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填报企业对材料的真实性负责。工业和信息化部将对相关情况进行核查，必要时进行现场审查。</w:t>
      </w:r>
    </w:p>
    <w:p w:rsidR="0018561F" w:rsidRDefault="0018561F" w:rsidP="0018561F">
      <w:pPr>
        <w:pStyle w:val="a3"/>
        <w:spacing w:line="240" w:lineRule="auto"/>
        <w:jc w:val="left"/>
        <w:rPr>
          <w:rFonts w:ascii="黑体" w:eastAsia="黑体" w:cs="黑体"/>
          <w:sz w:val="21"/>
          <w:szCs w:val="21"/>
        </w:rPr>
      </w:pPr>
    </w:p>
    <w:p w:rsidR="0018561F" w:rsidRDefault="0018561F" w:rsidP="0018561F">
      <w:pPr>
        <w:pStyle w:val="a3"/>
        <w:spacing w:line="240" w:lineRule="auto"/>
        <w:jc w:val="left"/>
        <w:rPr>
          <w:rFonts w:ascii="黑体" w:eastAsia="黑体" w:cs="黑体"/>
          <w:sz w:val="21"/>
          <w:szCs w:val="21"/>
        </w:rPr>
      </w:pPr>
    </w:p>
    <w:p w:rsidR="0018561F" w:rsidRDefault="0018561F" w:rsidP="0018561F">
      <w:pPr>
        <w:pStyle w:val="a3"/>
        <w:spacing w:line="240" w:lineRule="auto"/>
        <w:jc w:val="left"/>
        <w:rPr>
          <w:rFonts w:ascii="黑体" w:eastAsia="黑体" w:cs="黑体"/>
          <w:sz w:val="21"/>
          <w:szCs w:val="21"/>
        </w:rPr>
      </w:pPr>
    </w:p>
    <w:p w:rsidR="0018561F" w:rsidRDefault="0018561F" w:rsidP="0018561F">
      <w:pPr>
        <w:jc w:val="left"/>
        <w:rPr>
          <w:rFonts w:eastAsia="仿宋_GB2312"/>
          <w:sz w:val="32"/>
          <w:szCs w:val="32"/>
        </w:rPr>
      </w:pPr>
    </w:p>
    <w:p w:rsidR="0018561F" w:rsidRDefault="0018561F" w:rsidP="0018561F">
      <w:pPr>
        <w:pStyle w:val="a3"/>
        <w:spacing w:line="240" w:lineRule="auto"/>
        <w:jc w:val="left"/>
        <w:rPr>
          <w:rFonts w:ascii="黑体" w:eastAsia="黑体" w:cs="黑体"/>
          <w:sz w:val="21"/>
          <w:szCs w:val="21"/>
        </w:rPr>
      </w:pPr>
    </w:p>
    <w:p w:rsidR="0018561F" w:rsidRDefault="0018561F" w:rsidP="0018561F">
      <w:pPr>
        <w:pStyle w:val="a3"/>
        <w:spacing w:line="240" w:lineRule="auto"/>
        <w:jc w:val="left"/>
        <w:rPr>
          <w:rFonts w:ascii="黑体" w:eastAsia="黑体" w:cs="黑体"/>
          <w:sz w:val="21"/>
          <w:szCs w:val="21"/>
        </w:rPr>
      </w:pPr>
    </w:p>
    <w:p w:rsidR="0018561F" w:rsidRDefault="0018561F" w:rsidP="0018561F">
      <w:pPr>
        <w:jc w:val="center"/>
        <w:rPr>
          <w:rFonts w:ascii="黑体" w:eastAsia="黑体" w:hAnsi="宋体" w:cs="黑体"/>
          <w:b/>
          <w:sz w:val="30"/>
          <w:szCs w:val="30"/>
        </w:rPr>
      </w:pPr>
    </w:p>
    <w:p w:rsidR="0018561F" w:rsidRDefault="0018561F" w:rsidP="0018561F">
      <w:pPr>
        <w:jc w:val="center"/>
        <w:rPr>
          <w:rFonts w:ascii="黑体" w:eastAsia="黑体" w:hAnsi="宋体" w:cs="黑体"/>
          <w:bCs/>
          <w:sz w:val="36"/>
          <w:szCs w:val="36"/>
        </w:rPr>
        <w:sectPr w:rsidR="0018561F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61F" w:rsidRDefault="0018561F" w:rsidP="0018561F">
      <w:pPr>
        <w:jc w:val="center"/>
        <w:rPr>
          <w:rFonts w:ascii="黑体" w:eastAsia="黑体" w:hAnsi="宋体" w:cs="黑体"/>
          <w:bCs/>
          <w:sz w:val="36"/>
          <w:szCs w:val="36"/>
        </w:rPr>
      </w:pPr>
      <w:r>
        <w:rPr>
          <w:rFonts w:ascii="黑体" w:eastAsia="黑体" w:hAnsi="宋体" w:cs="黑体"/>
          <w:bCs/>
          <w:sz w:val="36"/>
          <w:szCs w:val="36"/>
        </w:rPr>
        <w:lastRenderedPageBreak/>
        <w:t>编</w:t>
      </w:r>
      <w:r>
        <w:rPr>
          <w:rFonts w:ascii="黑体" w:eastAsia="黑体" w:hAnsi="宋体" w:cs="黑体" w:hint="eastAsia"/>
          <w:bCs/>
          <w:sz w:val="36"/>
          <w:szCs w:val="36"/>
        </w:rPr>
        <w:t xml:space="preserve"> </w:t>
      </w:r>
      <w:r>
        <w:rPr>
          <w:rFonts w:ascii="黑体" w:eastAsia="黑体" w:hAnsi="宋体" w:cs="黑体"/>
          <w:bCs/>
          <w:sz w:val="36"/>
          <w:szCs w:val="36"/>
        </w:rPr>
        <w:t>写</w:t>
      </w:r>
      <w:r>
        <w:rPr>
          <w:rFonts w:ascii="黑体" w:eastAsia="黑体" w:hAnsi="宋体" w:cs="黑体" w:hint="eastAsia"/>
          <w:bCs/>
          <w:sz w:val="36"/>
          <w:szCs w:val="36"/>
        </w:rPr>
        <w:t xml:space="preserve"> </w:t>
      </w:r>
      <w:r>
        <w:rPr>
          <w:rFonts w:ascii="黑体" w:eastAsia="黑体" w:hAnsi="宋体" w:cs="黑体"/>
          <w:bCs/>
          <w:sz w:val="36"/>
          <w:szCs w:val="36"/>
        </w:rPr>
        <w:t>提</w:t>
      </w:r>
      <w:r>
        <w:rPr>
          <w:rFonts w:ascii="黑体" w:eastAsia="黑体" w:hAnsi="宋体" w:cs="黑体" w:hint="eastAsia"/>
          <w:bCs/>
          <w:sz w:val="36"/>
          <w:szCs w:val="36"/>
        </w:rPr>
        <w:t xml:space="preserve"> </w:t>
      </w:r>
      <w:r>
        <w:rPr>
          <w:rFonts w:ascii="黑体" w:eastAsia="黑体" w:hAnsi="宋体" w:cs="黑体"/>
          <w:bCs/>
          <w:sz w:val="36"/>
          <w:szCs w:val="36"/>
        </w:rPr>
        <w:t xml:space="preserve">纲 </w:t>
      </w:r>
    </w:p>
    <w:p w:rsidR="0018561F" w:rsidRDefault="0018561F" w:rsidP="0018561F">
      <w:pPr>
        <w:jc w:val="center"/>
        <w:rPr>
          <w:rFonts w:ascii="黑体" w:eastAsia="黑体" w:hAnsi="宋体" w:cs="黑体"/>
          <w:b/>
          <w:sz w:val="30"/>
          <w:szCs w:val="30"/>
        </w:rPr>
      </w:pP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一、《废旧轮胎综合利用行业规范条件》执行情况说明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包括对照《废旧轮胎综合利用行业规范条件》自查符合性情况、年度规划目标完成情况，同时概述说明下一年度规划目标。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二、废旧轮胎综合利用科技创新、研发能力变化情况</w:t>
      </w:r>
      <w:r>
        <w:rPr>
          <w:b/>
          <w:sz w:val="28"/>
          <w:szCs w:val="28"/>
        </w:rPr>
        <w:t xml:space="preserve"> 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包括本年度研发重点、方向，研发设备及人员的投入，以及技术进步和取得的研发成果等情况。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 xml:space="preserve">三、废旧轮胎综合利用生产能力和条件变化情况 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包括本年度生产能力、工艺改进和产品质量保障情况，生产设备和检验设备投入情况，以及企业的产能变化情况等。</w:t>
      </w:r>
      <w:r>
        <w:rPr>
          <w:sz w:val="28"/>
          <w:szCs w:val="28"/>
        </w:rPr>
        <w:t xml:space="preserve"> 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 xml:space="preserve">四、废旧轮胎综合利用情况报表 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包括本年度废旧轮胎加工利用技术装备和工艺、资源利用及能源消耗、环境保护、产品质量和职业教育、安全生产、职业健康情况等。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五、其它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《年度报告》编写力求重点突出、内容详实、数据准确、图文并茂。</w:t>
      </w: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sz w:val="28"/>
          <w:szCs w:val="28"/>
        </w:rPr>
      </w:pP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sz w:val="28"/>
          <w:szCs w:val="28"/>
        </w:rPr>
      </w:pP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sz w:val="28"/>
          <w:szCs w:val="28"/>
        </w:rPr>
      </w:pP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sz w:val="28"/>
          <w:szCs w:val="28"/>
        </w:rPr>
      </w:pPr>
    </w:p>
    <w:p w:rsidR="0018561F" w:rsidRDefault="0018561F" w:rsidP="0018561F">
      <w:pPr>
        <w:pStyle w:val="a3"/>
        <w:spacing w:line="240" w:lineRule="auto"/>
        <w:ind w:firstLineChars="200" w:firstLine="560"/>
        <w:jc w:val="left"/>
        <w:rPr>
          <w:sz w:val="28"/>
          <w:szCs w:val="28"/>
        </w:rPr>
      </w:pPr>
    </w:p>
    <w:p w:rsidR="0018561F" w:rsidRDefault="0018561F" w:rsidP="0018561F">
      <w:pPr>
        <w:jc w:val="center"/>
        <w:rPr>
          <w:rFonts w:ascii="黑体" w:eastAsia="黑体" w:hAnsi="黑体" w:cs="黑体" w:hint="eastAsia"/>
          <w:bCs/>
          <w:sz w:val="36"/>
          <w:szCs w:val="36"/>
        </w:rPr>
        <w:sectPr w:rsidR="0018561F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561F" w:rsidRDefault="0018561F" w:rsidP="0018561F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《废旧轮胎综合利用行业规范条件》执行情况报告书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（主要内容）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18561F" w:rsidTr="00001B46">
        <w:trPr>
          <w:trHeight w:val="2369"/>
        </w:trPr>
        <w:tc>
          <w:tcPr>
            <w:tcW w:w="8522" w:type="dxa"/>
          </w:tcPr>
          <w:p w:rsidR="0018561F" w:rsidRDefault="0018561F" w:rsidP="00001B46">
            <w:pPr>
              <w:pStyle w:val="Style3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技术、装备及工艺提升情况：</w:t>
            </w: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</w:tc>
      </w:tr>
      <w:tr w:rsidR="0018561F" w:rsidTr="00001B46">
        <w:trPr>
          <w:trHeight w:val="2403"/>
        </w:trPr>
        <w:tc>
          <w:tcPr>
            <w:tcW w:w="8522" w:type="dxa"/>
          </w:tcPr>
          <w:p w:rsidR="0018561F" w:rsidRDefault="0018561F" w:rsidP="00001B46">
            <w:pPr>
              <w:pStyle w:val="Style3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资源利用及能源消耗情况：</w:t>
            </w:r>
            <w:r>
              <w:rPr>
                <w:rFonts w:eastAsia="仿宋_GB2312"/>
              </w:rPr>
              <w:t xml:space="preserve"> </w:t>
            </w: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</w:tc>
      </w:tr>
      <w:tr w:rsidR="0018561F" w:rsidTr="00001B46">
        <w:trPr>
          <w:trHeight w:val="2396"/>
        </w:trPr>
        <w:tc>
          <w:tcPr>
            <w:tcW w:w="8522" w:type="dxa"/>
          </w:tcPr>
          <w:p w:rsidR="0018561F" w:rsidRDefault="0018561F" w:rsidP="00001B46">
            <w:pPr>
              <w:pStyle w:val="Style3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环境保护情况：</w:t>
            </w: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</w:tc>
      </w:tr>
      <w:tr w:rsidR="0018561F" w:rsidTr="00001B46">
        <w:trPr>
          <w:trHeight w:val="2401"/>
        </w:trPr>
        <w:tc>
          <w:tcPr>
            <w:tcW w:w="8522" w:type="dxa"/>
          </w:tcPr>
          <w:p w:rsidR="0018561F" w:rsidRDefault="0018561F" w:rsidP="00001B46">
            <w:pPr>
              <w:pStyle w:val="Style3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产品质量及可追溯情况：</w:t>
            </w: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</w:tc>
      </w:tr>
      <w:tr w:rsidR="0018561F" w:rsidTr="00001B46">
        <w:trPr>
          <w:trHeight w:val="2375"/>
        </w:trPr>
        <w:tc>
          <w:tcPr>
            <w:tcW w:w="8522" w:type="dxa"/>
          </w:tcPr>
          <w:p w:rsidR="0018561F" w:rsidRDefault="0018561F" w:rsidP="00001B46">
            <w:pPr>
              <w:pStyle w:val="Style3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安全生产、职业教育和职业健康情况：</w:t>
            </w: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  <w:p w:rsidR="0018561F" w:rsidRDefault="0018561F" w:rsidP="00001B46">
            <w:pPr>
              <w:pStyle w:val="Style3"/>
              <w:ind w:left="264" w:firstLineChars="0" w:firstLine="0"/>
              <w:jc w:val="left"/>
              <w:rPr>
                <w:rFonts w:eastAsia="仿宋_GB2312"/>
              </w:rPr>
            </w:pPr>
          </w:p>
        </w:tc>
      </w:tr>
    </w:tbl>
    <w:p w:rsidR="0018561F" w:rsidRDefault="0018561F" w:rsidP="0018561F">
      <w:pPr>
        <w:rPr>
          <w:rFonts w:ascii="仿宋" w:eastAsia="仿宋" w:hAnsi="仿宋" w:cs="仿宋"/>
          <w:color w:val="070707"/>
          <w:sz w:val="32"/>
          <w:szCs w:val="32"/>
          <w:shd w:val="clear" w:color="auto" w:fill="FFFFFF"/>
        </w:rPr>
      </w:pPr>
      <w:r>
        <w:t xml:space="preserve"> </w:t>
      </w:r>
      <w:r>
        <w:rPr>
          <w:rFonts w:ascii="仿宋_GB2312" w:eastAsia="仿宋_GB2312" w:hAnsi="仿宋_GB2312" w:cs="仿宋_GB2312" w:hint="eastAsia"/>
        </w:rPr>
        <w:t>注：纸面不敷、可另附页。</w:t>
      </w:r>
    </w:p>
    <w:p w:rsidR="00D162C6" w:rsidRPr="0018561F" w:rsidRDefault="00D162C6"/>
    <w:sectPr w:rsidR="00D162C6" w:rsidRPr="0018561F" w:rsidSect="00D16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宋体"/>
    <w:charset w:val="00"/>
    <w:family w:val="modern"/>
    <w:pitch w:val="default"/>
    <w:sig w:usb0="00000000" w:usb1="0000000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Fancy Card Text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561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561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561F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D2BBB"/>
    <w:multiLevelType w:val="multilevel"/>
    <w:tmpl w:val="2D4D2BBB"/>
    <w:lvl w:ilvl="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561F"/>
    <w:rsid w:val="0018561F"/>
    <w:rsid w:val="00D1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uiPriority w:val="34"/>
    <w:qFormat/>
    <w:rsid w:val="0018561F"/>
    <w:pPr>
      <w:ind w:firstLineChars="200" w:firstLine="420"/>
    </w:pPr>
  </w:style>
  <w:style w:type="paragraph" w:customStyle="1" w:styleId="a3">
    <w:name w:val="[基本段落]"/>
    <w:basedOn w:val="a"/>
    <w:semiHidden/>
    <w:rsid w:val="0018561F"/>
    <w:pPr>
      <w:spacing w:line="288" w:lineRule="auto"/>
    </w:pPr>
    <w:rPr>
      <w:rFonts w:ascii="Adobe 宋体 Std L" w:eastAsia="Adobe 宋体 Std L" w:cs="Adobe 宋体 Std L"/>
      <w:sz w:val="24"/>
      <w:szCs w:val="24"/>
    </w:rPr>
  </w:style>
  <w:style w:type="paragraph" w:styleId="a4">
    <w:name w:val="footer"/>
    <w:basedOn w:val="a"/>
    <w:link w:val="Char"/>
    <w:rsid w:val="001856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18561F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2020-05-22T01:46:00Z</dcterms:created>
  <dcterms:modified xsi:type="dcterms:W3CDTF">2020-05-22T01:46:00Z</dcterms:modified>
</cp:coreProperties>
</file>